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4F84A" w14:textId="77777777" w:rsidR="00177140" w:rsidRDefault="00177140" w:rsidP="007E68D5">
      <w:pPr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250"/>
        <w:gridCol w:w="1710"/>
        <w:gridCol w:w="1975"/>
      </w:tblGrid>
      <w:tr w:rsidR="00177140" w14:paraId="255A1BAB" w14:textId="77777777" w:rsidTr="00177140">
        <w:tc>
          <w:tcPr>
            <w:tcW w:w="4855" w:type="dxa"/>
            <w:vMerge w:val="restart"/>
          </w:tcPr>
          <w:p w14:paraId="062C8B4A" w14:textId="77777777" w:rsidR="007E68D5" w:rsidRDefault="00177140" w:rsidP="00177140">
            <w:pPr>
              <w:rPr>
                <w:rStyle w:val="Hyperlink"/>
                <w:rFonts w:cs="Calibri"/>
                <w:szCs w:val="20"/>
              </w:rPr>
            </w:pPr>
            <w:r w:rsidRPr="00DD61A0">
              <w:rPr>
                <w:b/>
                <w:bCs/>
              </w:rPr>
              <w:t>Minnesota Department of Labor and Industry</w:t>
            </w:r>
            <w:r w:rsidR="00DD61A0">
              <w:rPr>
                <w:b/>
                <w:bCs/>
              </w:rPr>
              <w:br/>
            </w:r>
            <w:r w:rsidRPr="00DD61A0">
              <w:t>Occupational Safety and Health Division</w:t>
            </w:r>
            <w:r w:rsidR="00DD61A0">
              <w:br/>
            </w:r>
            <w:r w:rsidRPr="00DD61A0">
              <w:t>443 Lafayette Road N.</w:t>
            </w:r>
            <w:r w:rsidR="00DD61A0">
              <w:br/>
            </w:r>
            <w:r w:rsidRPr="00DD61A0">
              <w:t>St. Paul, MN  55155</w:t>
            </w:r>
            <w:r w:rsidR="00DD61A0">
              <w:br/>
            </w:r>
            <w:r w:rsidRPr="00DD61A0">
              <w:t>Phone:  651-284-5050 or 800-342-5354</w:t>
            </w:r>
            <w:r w:rsidR="00DD61A0">
              <w:br/>
            </w:r>
            <w:r w:rsidRPr="00DD61A0">
              <w:t>Fax:  651-284-5741</w:t>
            </w:r>
            <w:r w:rsidR="00DD61A0">
              <w:br/>
            </w:r>
            <w:r w:rsidRPr="00DD61A0">
              <w:rPr>
                <w:szCs w:val="20"/>
              </w:rPr>
              <w:t xml:space="preserve">Email:  </w:t>
            </w:r>
            <w:hyperlink r:id="rId4" w:history="1">
              <w:r w:rsidR="007E68D5" w:rsidRPr="00DD61A0">
                <w:rPr>
                  <w:rStyle w:val="Hyperlink"/>
                  <w:rFonts w:cs="Calibri"/>
                  <w:szCs w:val="20"/>
                </w:rPr>
                <w:t>citation.progress@state.mn.us</w:t>
              </w:r>
            </w:hyperlink>
          </w:p>
          <w:p w14:paraId="633DA40A" w14:textId="3A450DBB" w:rsidR="00727CEF" w:rsidRPr="00DD61A0" w:rsidRDefault="00727CEF" w:rsidP="00177140">
            <w:pPr>
              <w:rPr>
                <w:b/>
                <w:bCs/>
                <w:sz w:val="22"/>
              </w:rPr>
            </w:pPr>
          </w:p>
        </w:tc>
        <w:tc>
          <w:tcPr>
            <w:tcW w:w="2250" w:type="dxa"/>
          </w:tcPr>
          <w:p w14:paraId="4ECAFB09" w14:textId="59055AA9" w:rsidR="00177140" w:rsidRPr="004C5A9A" w:rsidRDefault="007E68D5" w:rsidP="00DD61A0">
            <w:pPr>
              <w:jc w:val="center"/>
            </w:pPr>
            <w:r w:rsidRPr="004C5A9A">
              <w:t xml:space="preserve">Inspection </w:t>
            </w:r>
            <w:r w:rsidR="00DD61A0">
              <w:t>n</w:t>
            </w:r>
            <w:r w:rsidRPr="004C5A9A">
              <w:t>o.</w:t>
            </w:r>
          </w:p>
        </w:tc>
        <w:tc>
          <w:tcPr>
            <w:tcW w:w="1710" w:type="dxa"/>
          </w:tcPr>
          <w:p w14:paraId="5C0D5538" w14:textId="77777777" w:rsidR="00177140" w:rsidRPr="004C5A9A" w:rsidRDefault="007E68D5" w:rsidP="00DD61A0">
            <w:pPr>
              <w:jc w:val="center"/>
            </w:pPr>
            <w:r w:rsidRPr="004C5A9A">
              <w:t>OSHI I.D. no.</w:t>
            </w:r>
          </w:p>
        </w:tc>
        <w:tc>
          <w:tcPr>
            <w:tcW w:w="1975" w:type="dxa"/>
          </w:tcPr>
          <w:p w14:paraId="068B3417" w14:textId="77777777" w:rsidR="00177140" w:rsidRPr="004C5A9A" w:rsidRDefault="007E68D5" w:rsidP="00DD61A0">
            <w:pPr>
              <w:jc w:val="center"/>
            </w:pPr>
            <w:r w:rsidRPr="004C5A9A">
              <w:t>Optional report no.</w:t>
            </w:r>
          </w:p>
        </w:tc>
      </w:tr>
      <w:tr w:rsidR="00177140" w14:paraId="036E7A95" w14:textId="77777777" w:rsidTr="00DD61A0">
        <w:trPr>
          <w:trHeight w:val="602"/>
        </w:trPr>
        <w:tc>
          <w:tcPr>
            <w:tcW w:w="4855" w:type="dxa"/>
            <w:vMerge/>
          </w:tcPr>
          <w:p w14:paraId="0CE42346" w14:textId="77777777" w:rsidR="00177140" w:rsidRPr="004C5A9A" w:rsidRDefault="00177140" w:rsidP="0017714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</w:tcPr>
          <w:p w14:paraId="1F73426A" w14:textId="77777777" w:rsidR="00865515" w:rsidRPr="004C5A9A" w:rsidRDefault="00865515" w:rsidP="0017714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</w:tcPr>
          <w:p w14:paraId="23C7AEEE" w14:textId="77777777" w:rsidR="00177140" w:rsidRPr="004C5A9A" w:rsidRDefault="00177140" w:rsidP="0017714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</w:tcPr>
          <w:p w14:paraId="3E8EB2CF" w14:textId="77777777" w:rsidR="00177140" w:rsidRPr="004C5A9A" w:rsidRDefault="00177140" w:rsidP="0017714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E68D5" w14:paraId="311B41AA" w14:textId="77777777" w:rsidTr="00243059">
        <w:tc>
          <w:tcPr>
            <w:tcW w:w="4855" w:type="dxa"/>
            <w:vMerge/>
          </w:tcPr>
          <w:p w14:paraId="40614F44" w14:textId="77777777" w:rsidR="007E68D5" w:rsidRPr="004C5A9A" w:rsidRDefault="007E68D5" w:rsidP="0017714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935" w:type="dxa"/>
            <w:gridSpan w:val="3"/>
          </w:tcPr>
          <w:p w14:paraId="702AB2D3" w14:textId="77777777" w:rsidR="007E68D5" w:rsidRPr="004C5A9A" w:rsidRDefault="007E68D5" w:rsidP="00DD61A0">
            <w:r w:rsidRPr="004C5A9A">
              <w:t>Employer’s name and mailing address</w:t>
            </w:r>
          </w:p>
        </w:tc>
      </w:tr>
      <w:tr w:rsidR="007E68D5" w14:paraId="1ECA1674" w14:textId="77777777" w:rsidTr="004F71F5">
        <w:tc>
          <w:tcPr>
            <w:tcW w:w="4855" w:type="dxa"/>
            <w:vMerge/>
          </w:tcPr>
          <w:p w14:paraId="7DB2D7B8" w14:textId="77777777" w:rsidR="007E68D5" w:rsidRPr="004C5A9A" w:rsidRDefault="007E68D5" w:rsidP="0017714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935" w:type="dxa"/>
            <w:gridSpan w:val="3"/>
          </w:tcPr>
          <w:p w14:paraId="510A9A30" w14:textId="77777777" w:rsidR="007E68D5" w:rsidRPr="004C5A9A" w:rsidRDefault="007E68D5" w:rsidP="0017714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14:paraId="27ACEA1E" w14:textId="6BA8F0EB" w:rsidR="00177140" w:rsidRDefault="00177140" w:rsidP="00DD61A0">
      <w:pPr>
        <w:pStyle w:val="Heading1"/>
      </w:pPr>
      <w:r w:rsidRPr="00177140">
        <w:t xml:space="preserve">Mandatory </w:t>
      </w:r>
      <w:r w:rsidR="00727CEF">
        <w:t>p</w:t>
      </w:r>
      <w:r w:rsidRPr="00177140">
        <w:t xml:space="preserve">rogress </w:t>
      </w:r>
      <w:r w:rsidR="00727CEF">
        <w:t>r</w:t>
      </w:r>
      <w:r w:rsidRPr="00177140">
        <w:t>eport</w:t>
      </w:r>
    </w:p>
    <w:p w14:paraId="4B2F5E6F" w14:textId="77777777" w:rsidR="00727CEF" w:rsidRPr="00727CEF" w:rsidRDefault="00727CEF" w:rsidP="00727CEF"/>
    <w:p w14:paraId="67D5644C" w14:textId="2DC55990" w:rsidR="00947BF9" w:rsidRPr="00DD61A0" w:rsidRDefault="00AE3CF0" w:rsidP="00727CEF">
      <w:pPr>
        <w:spacing w:line="240" w:lineRule="auto"/>
        <w:rPr>
          <w:b/>
        </w:rPr>
      </w:pPr>
      <w:r>
        <w:t>In accordance with M</w:t>
      </w:r>
      <w:r w:rsidR="00DD61A0">
        <w:t>innesota</w:t>
      </w:r>
      <w:r>
        <w:t xml:space="preserve"> Rule</w:t>
      </w:r>
      <w:r w:rsidR="00DD61A0">
        <w:t>s</w:t>
      </w:r>
      <w:r>
        <w:t xml:space="preserve"> 5210.0532, this report </w:t>
      </w:r>
      <w:r w:rsidR="00DD61A0">
        <w:rPr>
          <w:b/>
          <w:bCs/>
        </w:rPr>
        <w:t>must</w:t>
      </w:r>
      <w:r>
        <w:t xml:space="preserve"> be returned to the above address. The completed </w:t>
      </w:r>
      <w:r w:rsidR="00DD61A0">
        <w:t xml:space="preserve">Mandatory </w:t>
      </w:r>
      <w:r>
        <w:t xml:space="preserve">Progress Report </w:t>
      </w:r>
      <w:r w:rsidR="00DD61A0">
        <w:t>f</w:t>
      </w:r>
      <w:r>
        <w:t xml:space="preserve">orm </w:t>
      </w:r>
      <w:r w:rsidR="003271B7">
        <w:t>should</w:t>
      </w:r>
      <w:r>
        <w:t xml:space="preserve"> be received by the abatement due</w:t>
      </w:r>
      <w:r w:rsidR="00DD61A0">
        <w:t>-</w:t>
      </w:r>
      <w:r w:rsidR="003271B7">
        <w:t xml:space="preserve">date indicated on the citation. This form is required by the latest abatement date of all citations </w:t>
      </w:r>
      <w:r>
        <w:t>or within 30 days after receipt of the citation, whichever is earlier. Multiple reports are necessary to verify abatement of citations with abatement periods longer than 30 days.</w:t>
      </w:r>
      <w:r w:rsidR="003271B7">
        <w:t xml:space="preserve"> </w:t>
      </w:r>
      <w:r w:rsidR="003271B7" w:rsidRPr="003271B7">
        <w:rPr>
          <w:b/>
          <w:bCs/>
        </w:rPr>
        <w:t>Failure to submit</w:t>
      </w:r>
      <w:r w:rsidR="003271B7" w:rsidRPr="003271B7">
        <w:rPr>
          <w:b/>
        </w:rPr>
        <w:t xml:space="preserve"> all required progress reports will result in an additional citation, </w:t>
      </w:r>
      <w:r w:rsidR="00DD61A0">
        <w:rPr>
          <w:b/>
        </w:rPr>
        <w:t>an add</w:t>
      </w:r>
      <w:r w:rsidR="003D53F0">
        <w:rPr>
          <w:b/>
        </w:rPr>
        <w:t>i</w:t>
      </w:r>
      <w:r w:rsidR="00DD61A0">
        <w:rPr>
          <w:b/>
        </w:rPr>
        <w:t xml:space="preserve">tional </w:t>
      </w:r>
      <w:r w:rsidR="003271B7" w:rsidRPr="003271B7">
        <w:rPr>
          <w:b/>
        </w:rPr>
        <w:t xml:space="preserve">penalty and/or </w:t>
      </w:r>
      <w:r w:rsidR="00DD61A0">
        <w:rPr>
          <w:b/>
        </w:rPr>
        <w:t xml:space="preserve">a </w:t>
      </w:r>
      <w:r w:rsidR="003271B7" w:rsidRPr="003271B7">
        <w:rPr>
          <w:b/>
        </w:rPr>
        <w:t>follow-up inspection.</w:t>
      </w:r>
    </w:p>
    <w:tbl>
      <w:tblPr>
        <w:tblpPr w:leftFromText="180" w:rightFromText="180" w:vertAnchor="text" w:horzAnchor="margin" w:tblpY="159"/>
        <w:tblW w:w="107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1"/>
        <w:gridCol w:w="5940"/>
        <w:gridCol w:w="1170"/>
        <w:gridCol w:w="1170"/>
        <w:gridCol w:w="1260"/>
      </w:tblGrid>
      <w:tr w:rsidR="00AE3CF0" w14:paraId="2547008A" w14:textId="77777777" w:rsidTr="00B75CF9">
        <w:tc>
          <w:tcPr>
            <w:tcW w:w="12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39226" w14:textId="388CC853" w:rsidR="00AE3CF0" w:rsidRPr="00727CEF" w:rsidRDefault="00AE3CF0" w:rsidP="00DD61A0">
            <w:pPr>
              <w:jc w:val="center"/>
            </w:pPr>
            <w:r w:rsidRPr="00727CEF">
              <w:t>Citation and</w:t>
            </w:r>
            <w:r w:rsidR="00DD61A0" w:rsidRPr="00727CEF">
              <w:t xml:space="preserve"> i</w:t>
            </w:r>
            <w:r w:rsidRPr="00727CEF">
              <w:t xml:space="preserve">tem </w:t>
            </w:r>
            <w:r w:rsidR="00B75CF9">
              <w:t>no.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6477D" w14:textId="0A7FA216" w:rsidR="00AE3CF0" w:rsidRPr="00727CEF" w:rsidRDefault="00AE3CF0" w:rsidP="00DD61A0">
            <w:pPr>
              <w:jc w:val="center"/>
            </w:pPr>
            <w:r w:rsidRPr="00727CEF">
              <w:t xml:space="preserve">Action </w:t>
            </w:r>
            <w:r w:rsidR="00DD61A0" w:rsidRPr="00727CEF">
              <w:t>t</w:t>
            </w:r>
            <w:r w:rsidRPr="00727CEF">
              <w:t>aken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64F13" w14:textId="7B46366F" w:rsidR="00AE3CF0" w:rsidRPr="00727CEF" w:rsidRDefault="00AE3CF0" w:rsidP="00DD61A0">
            <w:pPr>
              <w:jc w:val="center"/>
            </w:pPr>
            <w:r w:rsidRPr="00727CEF">
              <w:t>Abatement</w:t>
            </w:r>
            <w:r w:rsidR="00DD61A0" w:rsidRPr="00727CEF">
              <w:t xml:space="preserve"> d</w:t>
            </w:r>
            <w:r w:rsidRPr="00727CEF">
              <w:t xml:space="preserve">ate on </w:t>
            </w:r>
            <w:r w:rsidR="00DD61A0" w:rsidRPr="00727CEF">
              <w:t>c</w:t>
            </w:r>
            <w:r w:rsidRPr="00727CEF">
              <w:t>itation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C835F" w14:textId="7B8B9F03" w:rsidR="00AE3CF0" w:rsidRPr="00727CEF" w:rsidRDefault="00AE3CF0" w:rsidP="00DD61A0">
            <w:pPr>
              <w:jc w:val="center"/>
            </w:pPr>
            <w:r w:rsidRPr="00727CEF">
              <w:t xml:space="preserve">Date </w:t>
            </w:r>
            <w:r w:rsidR="00DD61A0" w:rsidRPr="00727CEF">
              <w:t>a</w:t>
            </w:r>
            <w:r w:rsidRPr="00727CEF">
              <w:t>bated</w:t>
            </w:r>
            <w:r w:rsidR="00DD61A0" w:rsidRPr="00727CEF">
              <w:br/>
            </w:r>
            <w:r w:rsidRPr="00727CEF">
              <w:t>(</w:t>
            </w:r>
            <w:r w:rsidR="00DD61A0" w:rsidRPr="00727CEF">
              <w:t>c</w:t>
            </w:r>
            <w:r w:rsidRPr="00727CEF">
              <w:t>orrected)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B1AFC20" w14:textId="6B2B0ADE" w:rsidR="00AE3CF0" w:rsidRPr="00727CEF" w:rsidRDefault="00AE3CF0" w:rsidP="00DD61A0">
            <w:pPr>
              <w:jc w:val="center"/>
            </w:pPr>
            <w:r w:rsidRPr="00727CEF">
              <w:t xml:space="preserve">Anticipated </w:t>
            </w:r>
            <w:r w:rsidR="00DD61A0" w:rsidRPr="00727CEF">
              <w:t>c</w:t>
            </w:r>
            <w:r w:rsidRPr="00727CEF">
              <w:t xml:space="preserve">ompletion </w:t>
            </w:r>
            <w:r w:rsidR="00DD61A0" w:rsidRPr="00727CEF">
              <w:t>d</w:t>
            </w:r>
            <w:r w:rsidRPr="00727CEF">
              <w:t>ate</w:t>
            </w:r>
          </w:p>
        </w:tc>
      </w:tr>
      <w:tr w:rsidR="00AE3CF0" w14:paraId="3ADC6802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EC685A" w14:textId="77777777" w:rsidR="00AE3CF0" w:rsidRDefault="00AE3CF0" w:rsidP="00AB737F">
            <w:pPr>
              <w:widowControl/>
              <w:tabs>
                <w:tab w:val="left" w:pos="-1080"/>
                <w:tab w:val="left" w:pos="-720"/>
                <w:tab w:val="left" w:pos="0"/>
                <w:tab w:val="left" w:pos="417"/>
                <w:tab w:val="left" w:pos="900"/>
                <w:tab w:val="left" w:pos="1620"/>
                <w:tab w:val="left" w:pos="22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C23B5" w14:textId="77777777" w:rsidR="00AE3CF0" w:rsidRDefault="00AE3CF0" w:rsidP="00AB737F">
            <w:pPr>
              <w:widowControl/>
              <w:tabs>
                <w:tab w:val="left" w:pos="-1080"/>
                <w:tab w:val="left" w:pos="-720"/>
                <w:tab w:val="left" w:pos="0"/>
                <w:tab w:val="left" w:pos="417"/>
                <w:tab w:val="left" w:pos="900"/>
                <w:tab w:val="left" w:pos="1620"/>
                <w:tab w:val="left" w:pos="22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A29685" w14:textId="77777777" w:rsidR="00AE3CF0" w:rsidRDefault="00AE3CF0" w:rsidP="00AB737F">
            <w:pPr>
              <w:widowControl/>
              <w:tabs>
                <w:tab w:val="left" w:pos="-1080"/>
                <w:tab w:val="left" w:pos="-720"/>
                <w:tab w:val="left" w:pos="0"/>
                <w:tab w:val="left" w:pos="417"/>
                <w:tab w:val="left" w:pos="900"/>
                <w:tab w:val="left" w:pos="1620"/>
                <w:tab w:val="left" w:pos="22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E7535E5" w14:textId="77777777" w:rsidR="00AE3CF0" w:rsidRDefault="00AE3CF0" w:rsidP="00AB737F">
            <w:pPr>
              <w:widowControl/>
              <w:tabs>
                <w:tab w:val="left" w:pos="-1080"/>
                <w:tab w:val="left" w:pos="-720"/>
                <w:tab w:val="left" w:pos="0"/>
                <w:tab w:val="left" w:pos="417"/>
                <w:tab w:val="left" w:pos="900"/>
                <w:tab w:val="left" w:pos="1620"/>
                <w:tab w:val="left" w:pos="22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A17A44" w14:textId="77777777" w:rsidR="00AE3CF0" w:rsidRPr="00DB3F80" w:rsidRDefault="00AE3CF0" w:rsidP="00AB737F">
            <w:pPr>
              <w:widowControl/>
              <w:tabs>
                <w:tab w:val="left" w:pos="-1080"/>
                <w:tab w:val="left" w:pos="-720"/>
                <w:tab w:val="left" w:pos="0"/>
                <w:tab w:val="left" w:pos="417"/>
                <w:tab w:val="left" w:pos="900"/>
                <w:tab w:val="left" w:pos="1620"/>
                <w:tab w:val="left" w:pos="225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E3CF0" w14:paraId="5E26D973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8EDE62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61E48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F49156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2C7880A3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EBB260" w14:textId="77777777" w:rsidR="00AE3CF0" w:rsidRPr="00DB3F80" w:rsidRDefault="00AE3CF0" w:rsidP="00AB7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CF0" w14:paraId="7F14CEAA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71030C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E96E8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40414A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6A1562DC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7E8DDA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CF0" w14:paraId="11EF694A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49543B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13AAC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FA486CA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15D3D6F7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EA84A3" w14:textId="77777777" w:rsidR="00AE3CF0" w:rsidRPr="00DB3F80" w:rsidRDefault="00AE3CF0" w:rsidP="00AB7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CF0" w14:paraId="47744BEA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A6E9F7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A7768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D739FFB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37CD39CC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2F2A3D" w14:textId="77777777" w:rsidR="00AE3CF0" w:rsidRPr="00DB3F80" w:rsidRDefault="00AE3CF0" w:rsidP="00AB7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CF0" w14:paraId="4DC86D04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911D1C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6917E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D84BD7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9E2525E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7ECE97" w14:textId="77777777" w:rsidR="00AE3CF0" w:rsidRPr="00DB3F80" w:rsidRDefault="00AE3CF0" w:rsidP="00AB7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3CF0" w14:paraId="07114404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0B1D74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5AD4D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864BBA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2213CF80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0C2C6D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3CF0" w14:paraId="0A3E25A5" w14:textId="77777777" w:rsidTr="00B75CF9">
        <w:trPr>
          <w:trHeight w:val="504"/>
        </w:trPr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6B0F04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BE3D1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8CFC130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75331671" w14:textId="77777777" w:rsidR="00AE3CF0" w:rsidRDefault="00AE3CF0" w:rsidP="00AB7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F0DC3F" w14:textId="77777777" w:rsidR="00AE3CF0" w:rsidRPr="00DB3F80" w:rsidRDefault="00AE3CF0" w:rsidP="00AB7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36ECBB" w14:textId="77777777" w:rsidR="00AE3CF0" w:rsidRDefault="00AE3CF0" w:rsidP="00AE3CF0">
      <w:pPr>
        <w:widowControl/>
        <w:tabs>
          <w:tab w:val="left" w:pos="-1080"/>
          <w:tab w:val="left" w:pos="-720"/>
        </w:tabs>
        <w:ind w:left="-1080"/>
        <w:jc w:val="both"/>
        <w:rPr>
          <w:rFonts w:ascii="Arial" w:hAnsi="Arial" w:cs="Arial"/>
          <w:szCs w:val="20"/>
        </w:rPr>
      </w:pPr>
    </w:p>
    <w:p w14:paraId="2F787F06" w14:textId="659BB63F" w:rsidR="00727CEF" w:rsidRDefault="00AE3CF0" w:rsidP="00DD61A0">
      <w:r>
        <w:rPr>
          <w:b/>
          <w:bCs/>
        </w:rPr>
        <w:t>N</w:t>
      </w:r>
      <w:r w:rsidR="00DD61A0">
        <w:rPr>
          <w:b/>
          <w:bCs/>
        </w:rPr>
        <w:t>ote</w:t>
      </w:r>
      <w:r w:rsidRPr="00DD61A0">
        <w:rPr>
          <w:b/>
          <w:bCs/>
        </w:rPr>
        <w:t>:</w:t>
      </w:r>
      <w:r w:rsidR="00DD61A0">
        <w:t xml:space="preserve">  </w:t>
      </w:r>
      <w:r>
        <w:t xml:space="preserve">If the anticipated completion date is beyond the abatement date on the citation, you must submit a separate written Petition for </w:t>
      </w:r>
      <w:r w:rsidR="00727CEF">
        <w:t>m</w:t>
      </w:r>
      <w:r>
        <w:t xml:space="preserve">odification of </w:t>
      </w:r>
      <w:r w:rsidR="00727CEF">
        <w:t>a</w:t>
      </w:r>
      <w:r>
        <w:t xml:space="preserve">batement </w:t>
      </w:r>
      <w:r w:rsidR="00727CEF">
        <w:t>d</w:t>
      </w:r>
      <w:r>
        <w:t>ate</w:t>
      </w:r>
      <w:r w:rsidR="00727CEF">
        <w:t xml:space="preserve"> (PMA)</w:t>
      </w:r>
      <w:r>
        <w:t xml:space="preserve"> </w:t>
      </w:r>
      <w:r w:rsidR="00727CEF">
        <w:t>form</w:t>
      </w:r>
      <w:r>
        <w:t xml:space="preserve"> to request an extension of time allowed for completion. See the instructions for a PMA</w:t>
      </w:r>
      <w:r w:rsidR="00727CEF">
        <w:t xml:space="preserve"> form</w:t>
      </w:r>
      <w:r>
        <w:t xml:space="preserve"> on page 2 of the </w:t>
      </w:r>
      <w:r w:rsidR="00727CEF">
        <w:t>C</w:t>
      </w:r>
      <w:r>
        <w:t xml:space="preserve">itation and </w:t>
      </w:r>
      <w:r w:rsidR="00727CEF">
        <w:t>N</w:t>
      </w:r>
      <w:r>
        <w:t xml:space="preserve">otification of </w:t>
      </w:r>
      <w:r w:rsidR="00727CEF">
        <w:t>P</w:t>
      </w:r>
      <w:r>
        <w:t>enalty.</w:t>
      </w:r>
    </w:p>
    <w:p w14:paraId="712DFF10" w14:textId="77777777" w:rsidR="00727CEF" w:rsidRDefault="00727CEF" w:rsidP="00DD61A0"/>
    <w:p w14:paraId="4224026B" w14:textId="63E8F519" w:rsidR="007E68D5" w:rsidRDefault="00AE3CF0" w:rsidP="00DD61A0">
      <w:r>
        <w:t xml:space="preserve">A copy of this </w:t>
      </w:r>
      <w:r w:rsidR="00727CEF">
        <w:t>form</w:t>
      </w:r>
      <w:r>
        <w:t xml:space="preserve"> must be posted for 15 days where the </w:t>
      </w:r>
      <w:r w:rsidR="00727CEF">
        <w:t>C</w:t>
      </w:r>
      <w:r>
        <w:t xml:space="preserve">itation and </w:t>
      </w:r>
      <w:r w:rsidR="00727CEF">
        <w:t>N</w:t>
      </w:r>
      <w:r>
        <w:t xml:space="preserve">otification of </w:t>
      </w:r>
      <w:r w:rsidR="00727CEF">
        <w:t>P</w:t>
      </w:r>
      <w:r>
        <w:t xml:space="preserve">enalty is posted and all affected employees and their representatives must be informed of their right to examine and copy all abatement documents submitted to the </w:t>
      </w:r>
      <w:r w:rsidR="00727CEF">
        <w:t>c</w:t>
      </w:r>
      <w:r>
        <w:t>ommissioner.</w:t>
      </w:r>
    </w:p>
    <w:p w14:paraId="7A7DA087" w14:textId="77777777" w:rsidR="004C5A9A" w:rsidRDefault="004C5A9A" w:rsidP="00DD61A0"/>
    <w:p w14:paraId="40845D32" w14:textId="0DDD603E" w:rsidR="007E68D5" w:rsidRDefault="007E68D5" w:rsidP="00DD61A0">
      <w:r>
        <w:t>I hereby certify this information is accurate.</w:t>
      </w:r>
    </w:p>
    <w:p w14:paraId="30F80E46" w14:textId="77777777" w:rsidR="00AE3CF0" w:rsidRPr="001B4379" w:rsidRDefault="00AE3CF0" w:rsidP="007E68D5">
      <w:pPr>
        <w:widowControl/>
        <w:ind w:left="-108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tbl>
      <w:tblPr>
        <w:tblW w:w="1089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90"/>
        <w:gridCol w:w="5400"/>
      </w:tblGrid>
      <w:tr w:rsidR="00AE3CF0" w14:paraId="2FBC556B" w14:textId="77777777" w:rsidTr="00AB737F">
        <w:trPr>
          <w:trHeight w:val="552"/>
          <w:jc w:val="center"/>
        </w:trPr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8555E" w14:textId="77777777" w:rsidR="00AE3CF0" w:rsidRDefault="00AE3CF0" w:rsidP="00727CEF">
            <w:r>
              <w:t>Completed by</w:t>
            </w:r>
          </w:p>
          <w:p w14:paraId="6CFFCAFE" w14:textId="77777777" w:rsidR="00AE3CF0" w:rsidRDefault="00AE3CF0" w:rsidP="00727CEF"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B55EE" w14:textId="77777777" w:rsidR="00AE3CF0" w:rsidRDefault="00AE3CF0" w:rsidP="00727CEF">
            <w:r>
              <w:t>Title</w:t>
            </w:r>
          </w:p>
        </w:tc>
      </w:tr>
      <w:tr w:rsidR="00AE3CF0" w14:paraId="5BD0E11F" w14:textId="77777777" w:rsidTr="00AB737F">
        <w:trPr>
          <w:trHeight w:val="552"/>
          <w:jc w:val="center"/>
        </w:trPr>
        <w:tc>
          <w:tcPr>
            <w:tcW w:w="5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5A80F" w14:textId="77777777" w:rsidR="00AE3CF0" w:rsidRDefault="00AE3CF0" w:rsidP="00727CEF">
            <w:r>
              <w:t>Phone</w:t>
            </w:r>
          </w:p>
          <w:p w14:paraId="2AAD3E83" w14:textId="77777777" w:rsidR="00AE3CF0" w:rsidRDefault="00AE3CF0" w:rsidP="00727CEF"/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3F31E" w14:textId="77777777" w:rsidR="00AE3CF0" w:rsidRDefault="00AE3CF0" w:rsidP="00727CEF">
            <w:r>
              <w:t>Date</w:t>
            </w:r>
          </w:p>
          <w:p w14:paraId="70D2A355" w14:textId="77777777" w:rsidR="00AE3CF0" w:rsidRDefault="00AE3CF0" w:rsidP="00727CEF">
            <w:pPr>
              <w:rPr>
                <w:szCs w:val="22"/>
              </w:rPr>
            </w:pPr>
          </w:p>
        </w:tc>
      </w:tr>
    </w:tbl>
    <w:p w14:paraId="77595C2B" w14:textId="77777777" w:rsidR="00AE3CF0" w:rsidRDefault="00AE3CF0" w:rsidP="00AE3CF0">
      <w:pPr>
        <w:widowControl/>
        <w:tabs>
          <w:tab w:val="left" w:pos="-1080"/>
          <w:tab w:val="left" w:pos="-900"/>
          <w:tab w:val="left" w:pos="417"/>
          <w:tab w:val="left" w:pos="900"/>
          <w:tab w:val="left" w:pos="1620"/>
          <w:tab w:val="left" w:pos="225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1520"/>
        </w:tabs>
        <w:ind w:left="-900"/>
        <w:rPr>
          <w:rFonts w:ascii="Arial" w:hAnsi="Arial" w:cs="Arial"/>
          <w:b/>
          <w:szCs w:val="20"/>
        </w:rPr>
      </w:pPr>
    </w:p>
    <w:p w14:paraId="26E98EA3" w14:textId="35FDD8C4" w:rsidR="007D6BDB" w:rsidRPr="00727CEF" w:rsidRDefault="007E68D5" w:rsidP="00727CEF">
      <w:pPr>
        <w:tabs>
          <w:tab w:val="right" w:pos="10620"/>
        </w:tabs>
        <w:ind w:right="-360"/>
        <w:rPr>
          <w:rFonts w:ascii="Arial" w:hAnsi="Arial" w:cs="Arial"/>
          <w:bCs/>
          <w:sz w:val="18"/>
          <w:szCs w:val="18"/>
        </w:rPr>
      </w:pPr>
      <w:r w:rsidRPr="00727CEF">
        <w:rPr>
          <w:rFonts w:asciiTheme="minorHAnsi" w:hAnsiTheme="minorHAnsi" w:cstheme="minorHAnsi"/>
          <w:bCs/>
          <w:szCs w:val="20"/>
        </w:rPr>
        <w:t xml:space="preserve">This form is available at </w:t>
      </w:r>
      <w:hyperlink r:id="rId5" w:history="1">
        <w:r w:rsidRPr="00727CEF">
          <w:rPr>
            <w:rStyle w:val="Hyperlink"/>
            <w:rFonts w:asciiTheme="minorHAnsi" w:hAnsiTheme="minorHAnsi" w:cstheme="minorHAnsi"/>
            <w:bCs/>
            <w:szCs w:val="20"/>
          </w:rPr>
          <w:t>www.dli.mn.gov/business/workplace-safety-and-health/mnosha-compliance-forms</w:t>
        </w:r>
      </w:hyperlink>
      <w:r w:rsidRPr="00727CEF">
        <w:rPr>
          <w:rFonts w:asciiTheme="minorHAnsi" w:hAnsiTheme="minorHAnsi" w:cstheme="minorHAnsi"/>
          <w:bCs/>
          <w:szCs w:val="20"/>
        </w:rPr>
        <w:t>.</w:t>
      </w:r>
      <w:r w:rsidR="00727CEF">
        <w:rPr>
          <w:rFonts w:ascii="Arial" w:hAnsi="Arial" w:cs="Arial"/>
          <w:bCs/>
          <w:sz w:val="18"/>
          <w:szCs w:val="18"/>
        </w:rPr>
        <w:tab/>
      </w:r>
      <w:r w:rsidRPr="00727CEF">
        <w:rPr>
          <w:rFonts w:cs="Calibri"/>
          <w:bCs/>
          <w:szCs w:val="20"/>
        </w:rPr>
        <w:t>February 2020</w:t>
      </w:r>
    </w:p>
    <w:p w14:paraId="6911BBA2" w14:textId="77777777" w:rsidR="007D6BDB" w:rsidRPr="007D6BDB" w:rsidRDefault="007D6BDB" w:rsidP="007D6BDB">
      <w:pPr>
        <w:rPr>
          <w:rFonts w:ascii="Arial" w:hAnsi="Arial" w:cs="Arial"/>
          <w:sz w:val="16"/>
          <w:szCs w:val="16"/>
        </w:rPr>
      </w:pPr>
    </w:p>
    <w:p w14:paraId="68582D6F" w14:textId="77777777" w:rsidR="00E34DD8" w:rsidRPr="007D6BDB" w:rsidRDefault="00E34DD8" w:rsidP="007D6BDB">
      <w:pPr>
        <w:tabs>
          <w:tab w:val="left" w:pos="9120"/>
        </w:tabs>
        <w:rPr>
          <w:rFonts w:ascii="Arial" w:hAnsi="Arial" w:cs="Arial"/>
          <w:sz w:val="16"/>
          <w:szCs w:val="16"/>
        </w:rPr>
      </w:pPr>
    </w:p>
    <w:sectPr w:rsidR="00E34DD8" w:rsidRPr="007D6BDB" w:rsidSect="00947BF9">
      <w:pgSz w:w="12240" w:h="15840"/>
      <w:pgMar w:top="360" w:right="720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F0"/>
    <w:rsid w:val="0002186F"/>
    <w:rsid w:val="00037196"/>
    <w:rsid w:val="000A7318"/>
    <w:rsid w:val="000D5E6B"/>
    <w:rsid w:val="00177140"/>
    <w:rsid w:val="001807E9"/>
    <w:rsid w:val="00183257"/>
    <w:rsid w:val="001954D4"/>
    <w:rsid w:val="00222427"/>
    <w:rsid w:val="00230447"/>
    <w:rsid w:val="00240A61"/>
    <w:rsid w:val="002C23DE"/>
    <w:rsid w:val="002E0A80"/>
    <w:rsid w:val="003271B7"/>
    <w:rsid w:val="00332654"/>
    <w:rsid w:val="00383B23"/>
    <w:rsid w:val="0039580B"/>
    <w:rsid w:val="003D53F0"/>
    <w:rsid w:val="003D6232"/>
    <w:rsid w:val="00412FD1"/>
    <w:rsid w:val="004157E1"/>
    <w:rsid w:val="00480C2F"/>
    <w:rsid w:val="00491A70"/>
    <w:rsid w:val="004C19FF"/>
    <w:rsid w:val="004C5A9A"/>
    <w:rsid w:val="004C7A30"/>
    <w:rsid w:val="004E42B2"/>
    <w:rsid w:val="00521D1E"/>
    <w:rsid w:val="00561F07"/>
    <w:rsid w:val="005B4205"/>
    <w:rsid w:val="005C7DA3"/>
    <w:rsid w:val="00602B6F"/>
    <w:rsid w:val="00604A52"/>
    <w:rsid w:val="00615F66"/>
    <w:rsid w:val="00673949"/>
    <w:rsid w:val="0068436B"/>
    <w:rsid w:val="00693122"/>
    <w:rsid w:val="006B267A"/>
    <w:rsid w:val="00703399"/>
    <w:rsid w:val="00727CEF"/>
    <w:rsid w:val="00727DC4"/>
    <w:rsid w:val="00787D78"/>
    <w:rsid w:val="007D4D08"/>
    <w:rsid w:val="007D6BDB"/>
    <w:rsid w:val="007E68D5"/>
    <w:rsid w:val="007F152C"/>
    <w:rsid w:val="007F42B3"/>
    <w:rsid w:val="00812BCE"/>
    <w:rsid w:val="0082580E"/>
    <w:rsid w:val="0085691B"/>
    <w:rsid w:val="00865515"/>
    <w:rsid w:val="00890977"/>
    <w:rsid w:val="008F5571"/>
    <w:rsid w:val="00913416"/>
    <w:rsid w:val="0091760C"/>
    <w:rsid w:val="00947BF9"/>
    <w:rsid w:val="00955341"/>
    <w:rsid w:val="00994E8F"/>
    <w:rsid w:val="009E4B65"/>
    <w:rsid w:val="00A23908"/>
    <w:rsid w:val="00A4757E"/>
    <w:rsid w:val="00A90227"/>
    <w:rsid w:val="00A978C2"/>
    <w:rsid w:val="00AB737F"/>
    <w:rsid w:val="00AE3CF0"/>
    <w:rsid w:val="00B1505F"/>
    <w:rsid w:val="00B37A75"/>
    <w:rsid w:val="00B75CF9"/>
    <w:rsid w:val="00B8536F"/>
    <w:rsid w:val="00C300BF"/>
    <w:rsid w:val="00C8418A"/>
    <w:rsid w:val="00C95AD3"/>
    <w:rsid w:val="00CA64E7"/>
    <w:rsid w:val="00CF2245"/>
    <w:rsid w:val="00D239D7"/>
    <w:rsid w:val="00D30A2B"/>
    <w:rsid w:val="00D33B34"/>
    <w:rsid w:val="00D41FCC"/>
    <w:rsid w:val="00D62A74"/>
    <w:rsid w:val="00DD61A0"/>
    <w:rsid w:val="00DE1C41"/>
    <w:rsid w:val="00E049F8"/>
    <w:rsid w:val="00E0670A"/>
    <w:rsid w:val="00E23BB7"/>
    <w:rsid w:val="00E34DD8"/>
    <w:rsid w:val="00E7443A"/>
    <w:rsid w:val="00EA2229"/>
    <w:rsid w:val="00EE4E93"/>
    <w:rsid w:val="00F21657"/>
    <w:rsid w:val="00F35AF7"/>
    <w:rsid w:val="00F468D7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F4376"/>
  <w15:docId w15:val="{0BC00691-2E0A-4B41-9E3F-13025FD6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D61A0"/>
    <w:pPr>
      <w:widowControl w:val="0"/>
      <w:autoSpaceDE w:val="0"/>
      <w:autoSpaceDN w:val="0"/>
      <w:adjustRightInd w:val="0"/>
      <w:spacing w:line="271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727CE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qFormat/>
    <w:rsid w:val="00AE3CF0"/>
    <w:pPr>
      <w:keepNext/>
      <w:spacing w:line="240" w:lineRule="exact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3CF0"/>
    <w:pPr>
      <w:widowControl/>
      <w:tabs>
        <w:tab w:val="left" w:pos="-1080"/>
        <w:tab w:val="left" w:pos="-720"/>
        <w:tab w:val="left" w:pos="0"/>
        <w:tab w:val="left" w:pos="417"/>
        <w:tab w:val="left" w:pos="900"/>
        <w:tab w:val="left" w:pos="1620"/>
        <w:tab w:val="left" w:pos="225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  <w:szCs w:val="20"/>
    </w:rPr>
  </w:style>
  <w:style w:type="table" w:styleId="TableGrid">
    <w:name w:val="Table Grid"/>
    <w:basedOn w:val="TableNormal"/>
    <w:rsid w:val="00177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61A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8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4C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5A9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27CEF"/>
    <w:rPr>
      <w:rFonts w:ascii="Calibri" w:eastAsiaTheme="majorEastAsia" w:hAnsi="Calibr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li.mn.gov/business/workplace-safety-and-health/mnosha-compliance-forms" TargetMode="External"/><Relationship Id="rId4" Type="http://schemas.openxmlformats.org/officeDocument/2006/relationships/hyperlink" Target="mailto:citation.progress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 Mandatory progress report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 Mandatory progress report</dc:title>
  <dc:subject/>
  <dc:creator>Minnesota OSHA Compliance, Minnesota Department of Labor and Industry</dc:creator>
  <cp:keywords/>
  <dc:description/>
  <cp:lastModifiedBy>OBrien, Jenny (DLI)</cp:lastModifiedBy>
  <cp:revision>3</cp:revision>
  <cp:lastPrinted>2020-01-30T21:01:00Z</cp:lastPrinted>
  <dcterms:created xsi:type="dcterms:W3CDTF">2020-02-27T15:51:00Z</dcterms:created>
  <dcterms:modified xsi:type="dcterms:W3CDTF">2020-02-27T15:51:00Z</dcterms:modified>
</cp:coreProperties>
</file>